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2007/34 vom 23. November 2007</w:t>
      </w:r>
    </w:p>
    <w:p>
      <w:r>
        <w:t>Sg Versicherungsgericht, 2007-11-23, DE</w:t>
      </w:r>
    </w:p>
    <w:p>
      <w:r>
        <w:rPr>
          <w:b/>
        </w:rPr>
        <w:t xml:space="preserve">Quelle: </w:t>
      </w:r>
      <w:r>
        <w:t>https://mcp.opencaselaw.ch/entscheid/sg_publikationen_AVI 2007_34</w:t>
      </w:r>
    </w:p>
    <w:p>
      <w:r>
        <w:t>FR: SG_VERSICHERUNGSGERICHT AVI 2007/34 du 23 novembre 2007</w:t>
      </w:r>
    </w:p>
    <w:p>
      <w:r>
        <w:t>IT: SG_VERSICHERUNGSGERICHT AVI 2007/34 del 23 novembre 2007</w:t>
      </w:r>
    </w:p>
    <w:p>
      <w:pPr>
        <w:pStyle w:val="Heading2"/>
      </w:pPr>
      <w:r>
        <w:t>Regeste</w:t>
      </w:r>
    </w:p>
    <w:p>
      <w:r>
        <w:t>Art. 30 Abs. 1 lit. e AVIG. Einstellung wegen Meldepflichtverletzung nach verneinen Ausübung einer Erwerbstätigkeit im Formular "Angabe der versicherten Person" (Entscheid des Versicherungsgerichts des Kantons St. Gallen vom 23. November 2007, AVI 2007/34).</w:t>
      </w:r>
    </w:p>
    <w:p>
      <w:pPr>
        <w:pStyle w:val="Heading2"/>
      </w:pPr>
      <w:r>
        <w:t>Erwägungen</w:t>
      </w:r>
    </w:p>
    <w:p>
      <w:r>
        <w:rPr>
          <w:b/>
        </w:rPr>
        <w:t>E. 1</w:t>
      </w:r>
    </w:p>
    <w:p>
      <w:r>
        <w:t>a) Nach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ARV 1993/94 Nr. 3 S. 21 E. 3b). Auch eine fahrlässige Meldepflichtverletzung erfüllt den Tatbestand von Art. 30 Abs. 1 lit. e AVIG; Absicht ist nicht vorausgesetzt (vgl. dazu Jaqueline Chopard, Die Einstellung in der Anspruchberechtigung, Zürich 1998, S. 53). b)  Der Beschwerdeführer hat im Formular "Angaben der versicherten Person für den Monat Oktober 2005 " die Frage, ob er in diesem Monat bei einem oder mehreren Arbeitgebern gearbeitet habe, verneint (act. G 3.6). Dabei hat er unbestrittenermassen im Oktober 2005 für die A.___ AG gearbeitet und zwar schon vor dem 22. Oktober 2005, dem Tag, an dem er das Formular ausgefüllt hat (act. G 3.20). Der Beschwerdeführer hat also nicht etwa vergessen, eine der gestellten Fragen zu beantworten oder in Unkenntnis einer im gleichen Monat noch möglichen zukünftigen Erwerbstätigkeit gehandelt, sondern er hat bei der Frage nach der Erwerbstätigkeit das Feld "nein" angekreuzt. Somit hat er nicht nur seine Meldepflicht verletzt, sondern auch eine unwahre Angabe gemacht. Dass der Beschwerdeführer seine Arbeitstätigkeit anfänglich nur deshalb nicht deklariert haben will, weil er keinen Lohn erhalten habe, ist ebenso wenig relevant, wie dass er seine Tätigkeit im Oktober 2005 nachträglich dem RAV Heerbrugg gemeldet hat, da die Tätigkeit am Ende desjenigen Monats als Zwischenverdienst anzugeben ist, in dem sie ausgeübt worden ist (BGE 122 V 267 E. 5b), und eine gegenüber unzuständigen Stellen erwähnte Tätigkeit nicht von der Pflicht der ordnungsgemässen Deklaration bei der hiefür zuständigen Arbeitslosenkasse entbindet (vgl. BGE vom 27. März 2007 i.S. B [C 288/06] = ARV 2007 S. 210-212). Indem der Beschwerdeführer die Frage nach einer unselbständigen Erwerbstätigkeit ausdrücklich verneint hat, hat er den Einstellungstatbestand von Art. 30 Abs. 1 lit. e AVIG erfüllt.</w:t>
      </w:r>
    </w:p>
    <w:p>
      <w:r>
        <w:rPr>
          <w:b/>
        </w:rPr>
        <w:t>E. 2</w:t>
      </w:r>
    </w:p>
    <w:p>
      <w:r>
        <w:t>a) Die Dauer der Einstellung richtet sich nach dem Grad des Verschuldens (Art. 30 Abs. 3 AVIG) und dauert 1 bis 15 Tage bei leichtem, 16 bis 30 Tage bei mittelschwerem und 31 bis 60 Tage bei schwerem Verschulden (Art. 45 Abs. 2 AVIV). b) Die Beschwerdegegnerin ist von einem schweren Verschulden im mittleren Bereich ausgegangen und hat den Beschwerdeführer für 45 Tage in der Anspruchsberechtigung eingestellt. Der Beschwerdeführer macht geltend, im Falle einer Einstellung sei von einem leichten Verschulden auszugehen, das mit einer Einstellung von höchstens fünf Tagen abzugelten sei. c)  Eine Sanktionsreduktion in den Bereich des leichten Verschuldens fällt ausser Betracht. So ist nicht nachvollziehbar, dass der Beschwerdeführer die Frage nach der im Oktober 2005 ausgeübten Erwerbstätigkeit verneinte, weil er keinen Lohn erhalten habe (vgl. act. G 3.24 Einsprachebegründung). Im Formular wird nicht nach dem Lohn bzw. dessen Bezahlung gefragt, sondern danach, ob man gearbeitet hat. Der Beschwerdeführer arbeitete ab dem 6. Oktober 2005 im Rahmen eines Vollzeitpensums von 42,5 Stunden pro Woche bei der A.___ AG und leistete zudem noch Überstunden (act. G 1.7), weshalb ihm die Bedeutung dieser Arbeitsleistung als meldepflichtige Tatsache nicht entgangen sein konnte. Die Behauptung des Beschwerdeführers, er habe für seine Arbeit bei der A.___ AG im Monat Oktober 2005 zunächst keinen Lohn, sondern vorab Spesenersatz erhalten (vgl. act. G 1 Beschwerde S. 5), ist nicht überzeugend. Nach den Ausführungen seines Vertreters sollen sich die Spesen im Monat Oktober 2005 auf Fr. 786.90 und im Monat November 2005 auf Fr. 1'068.20 belaufen haben (vgl. act. G 3.28). Gemäss der Zusammenstellung des Arbeitsgerichtspräsidenten vom 7. Mai 2006 hat der Beschwerdeführer bis Ende November 2005 jedoch Zahlungen von insgesamt Fr. 7'984.80 erhalten (vgl. act. G 3.21). Selbst nach Abzug der Spesen der Monate Oktober und November 2005 ist dem Beschwerdeführer ein Betrag von Fr. 6'129.70 (pro Monat Fr 3'064.85) verblieben, der auch aus seiner Sicht als Lohn zu betrachten ist. Im Übrigen gehört die Bezahlung von Überstunden ebenfalls zum Lohn und ist entsprechend bei der Berechnung der Arbeitslosentaggelder zu berücksichtigen. Zusätzlich hat der Beschwerdeführer für den Monat Oktober 2005 noch eine (offensichtlich ungekürzte) Arbeitslosenentschädigung von Fr. 3'154.15 bezogen (ausbezahlt am 24. November 2005; vgl. act. G 1.7 S.3). Schliesslich trifft auch die Behauptung des Beschwerdeführers nicht zu, er habe von Anfang an alles dem RAV-Berater offen gelegt (act. G 5 S.4). Die zuständigen Berater des RAV (AM-Berater und Personalberater) erhielten erst nach der am 16. Januar 2006 erfolgten Beendigung des Arbeitsverhältnisses Kenntnis davon, dass dieses nicht dem schriftlichen Vertrag entsprechend am 1. November, sondern bereits am 6. Oktober 2005 begonnen hatte (act. G 3.11- G 3.14). d)  Das Verneinen der Erwerbstätigkeit auf dem Formular Angaben der versicherten Person für den Monat Oktober 2005 muss vor diesem Hintergrund als grobfahrlässiges Verhalten gewertet werden. Die von der Beschwerdegegnerin erfolgte Qualifikation des schweren Verschuldens trägt den konkreten Umständen aber insoweit zu wenig Rechnung, als die unterlassene Angabe der Erwerbstätigkeit die Arbeitsleistung für eine einzelne Kontrollperiode betrifft und es sich offenbar um die erstmalige Meldepflichtverletzung handelt. Zum Vergleich hat das Bundesgericht eine Einstelldauer von 45 Tagen beispielsweise als zulässig erachtet bei einer versicherten Person, welche die Arbeitslosenkasse mit einem gefälschten Kündigungsschreiben ihres Arbeitgebers zu täuschen versuchte (Urteil C 152/2003 vom 25. Juni 2004). Die gleiche Einstelldauer auferlegte es einem Versicherten, welcher der Arbeitslosenkasse mit Absicht die Ausübung eines Zwischenverdienstes während mehr als zehn Monaten verschwiegen hatte (Urteil C 158/2005 vom 11. Juli 2005). Hingegen erachtete es 15 Einstelltage für zulässig bei einer versicherten Person, die den für eine einzelne Kontrollperiode erzielten Zwischenverdienst nicht absichtlich verheimlicht, sondern den Personalberater darüber informiert hatte, wobei sie bereits zuvor in der gleichen Rahmenfrist wegen einer wahrheitswidrigen Angabe auf dem Formular Angaben der versicherten Person zu 10 Tagen Einstellung sanktioniert worden war (Urteil C 288/06 vom 27. März 2007 = ARV 2007, S. 210-212). Im vorliegenden Fall rechtfertigt sich aufgrund der gesamten Umstände eine Sanktion im Bereich des mittelschweren Verschuldens, wobei eine Einstelldauer von 20 Tagen angemessen ist. 3.-  a) Im Sinne obiger Erwägungen ist die Beschwerde teilweise gutzuheissen und der Beschwerdeführer ab 1. November 2005 für 20 Tage in der Anspruchsberechtigung einzustellen. Der Einspracheentscheid vom 27. Februar 2007 ist aufzuheben. b)  Gerichtskosten sind keine zu erheben (Art. 61 lit. a ATSG). Entsprechend dem Ausgang des Verfahrens hat die Beschwerdegegnerin dem Beschwerdeführer für seine Anwaltskosten eine reduzierte Parteientschädigung von pauschal Fr. 2'000.-- (inkl. Mehrwertsteuer und Barauslagen) zu bezahlen. Demgemäss hat das Versicherungsgericht im Zirkulationsverfahren gemäss Art. 53 GerG entschieden: 1.        In teilweiser Gutheissung der Beschwerde wird der Einspracheentscheid vom 27. Februar 2007 aufgehoben und der Beschwerdeführer ab dem 1. November 2005 für 20 Tage in der Anspruchsberechtigung eingestellt. 2.        Es werden keine Gerichtskosten erhoben. 3.        Die Beschwerdegegnerin hat dem Beschwerdeführer eine Parteientschädigung von Fr. 2'000.-- (inkl.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